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30"/>
        <w:gridCol w:w="6310"/>
      </w:tblGrid>
      <w:tr w:rsidR="001F7AA3" w14:paraId="287138FC"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F395E"/>
            <w:tcMar>
              <w:top w:w="160" w:type="dxa"/>
              <w:left w:w="300" w:type="dxa"/>
              <w:bottom w:w="160" w:type="dxa"/>
              <w:right w:w="300" w:type="dxa"/>
            </w:tcMar>
          </w:tcPr>
          <w:p w14:paraId="39A95A81" w14:textId="77777777" w:rsidR="001F7AA3" w:rsidRDefault="00000000">
            <w:pPr>
              <w:spacing w:after="30"/>
              <w:jc w:val="center"/>
            </w:pPr>
            <w:r>
              <w:rPr>
                <w:rFonts w:ascii="Verdana" w:eastAsia="Verdana" w:hAnsi="Verdana" w:cs="Verdana"/>
                <w:b/>
                <w:bCs/>
                <w:color w:val="FFFFFF"/>
                <w:sz w:val="36"/>
                <w:szCs w:val="36"/>
              </w:rPr>
              <w:t>STEPHANIE COOPER, LMSW</w:t>
            </w:r>
          </w:p>
          <w:p w14:paraId="3101DC0F" w14:textId="77731BF7" w:rsidR="001F7AA3" w:rsidRDefault="00000000">
            <w:pPr>
              <w:spacing w:after="30"/>
              <w:jc w:val="center"/>
            </w:pPr>
            <w:r>
              <w:rPr>
                <w:rFonts w:ascii="Verdana" w:eastAsia="Verdana" w:hAnsi="Verdana" w:cs="Verdana"/>
                <w:color w:val="F5C518"/>
                <w:sz w:val="17"/>
                <w:szCs w:val="17"/>
              </w:rPr>
              <w:t xml:space="preserve">BoardSource Certified Board </w:t>
            </w:r>
            <w:r w:rsidR="00231B7D">
              <w:rPr>
                <w:rFonts w:ascii="Verdana" w:eastAsia="Verdana" w:hAnsi="Verdana" w:cs="Verdana"/>
                <w:color w:val="F5C518"/>
                <w:sz w:val="17"/>
                <w:szCs w:val="17"/>
              </w:rPr>
              <w:t>Consultant | Nonprofit</w:t>
            </w:r>
            <w:r>
              <w:rPr>
                <w:rFonts w:ascii="Verdana" w:eastAsia="Verdana" w:hAnsi="Verdana" w:cs="Verdana"/>
                <w:color w:val="F5C518"/>
                <w:sz w:val="17"/>
                <w:szCs w:val="17"/>
              </w:rPr>
              <w:t xml:space="preserve"> </w:t>
            </w:r>
            <w:r w:rsidR="00231B7D">
              <w:rPr>
                <w:rFonts w:ascii="Verdana" w:eastAsia="Verdana" w:hAnsi="Verdana" w:cs="Verdana"/>
                <w:color w:val="F5C518"/>
                <w:sz w:val="17"/>
                <w:szCs w:val="17"/>
              </w:rPr>
              <w:t>CEO | Professional</w:t>
            </w:r>
            <w:r>
              <w:rPr>
                <w:rFonts w:ascii="Verdana" w:eastAsia="Verdana" w:hAnsi="Verdana" w:cs="Verdana"/>
                <w:color w:val="F5C518"/>
                <w:sz w:val="17"/>
                <w:szCs w:val="17"/>
              </w:rPr>
              <w:t xml:space="preserve"> Speaker</w:t>
            </w:r>
          </w:p>
          <w:p w14:paraId="2F63F315" w14:textId="77777777" w:rsidR="001F7AA3" w:rsidRDefault="00000000">
            <w:pPr>
              <w:jc w:val="center"/>
            </w:pPr>
            <w:r>
              <w:rPr>
                <w:rFonts w:ascii="Verdana" w:eastAsia="Verdana" w:hAnsi="Verdana" w:cs="Verdana"/>
                <w:i/>
                <w:iCs/>
                <w:color w:val="FFFFFF"/>
                <w:sz w:val="16"/>
                <w:szCs w:val="16"/>
              </w:rPr>
              <w:t>Enhancing Missions. Transforming Communities.</w:t>
            </w:r>
          </w:p>
        </w:tc>
      </w:tr>
      <w:tr w:rsidR="001F7AA3" w14:paraId="19D104C7" w14:textId="77777777">
        <w:tblPrEx>
          <w:tblCellMar>
            <w:top w:w="0" w:type="dxa"/>
            <w:bottom w:w="0" w:type="dxa"/>
          </w:tblCellMar>
        </w:tblPrEx>
        <w:trPr>
          <w:trHeight w:hRule="exact" w:val="80"/>
        </w:trPr>
        <w:tc>
          <w:tcPr>
            <w:tcW w:w="0" w:type="auto"/>
            <w:gridSpan w:val="2"/>
            <w:tcBorders>
              <w:top w:val="none" w:sz="0" w:space="0" w:color="FFFFFF"/>
              <w:left w:val="none" w:sz="0" w:space="0" w:color="FFFFFF"/>
              <w:bottom w:val="none" w:sz="0" w:space="0" w:color="FFFFFF"/>
              <w:right w:val="none" w:sz="0" w:space="0" w:color="FFFFFF"/>
            </w:tcBorders>
            <w:shd w:val="clear" w:color="auto" w:fill="F5C518"/>
          </w:tcPr>
          <w:p w14:paraId="1AA3D28C" w14:textId="77777777" w:rsidR="001F7AA3" w:rsidRDefault="001F7AA3"/>
        </w:tc>
      </w:tr>
      <w:tr w:rsidR="00231B7D" w14:paraId="066565F3" w14:textId="77777777" w:rsidTr="00231B7D">
        <w:tblPrEx>
          <w:tblCellMar>
            <w:top w:w="0" w:type="dxa"/>
            <w:bottom w:w="0" w:type="dxa"/>
          </w:tblCellMar>
        </w:tblPrEx>
        <w:tc>
          <w:tcPr>
            <w:tcW w:w="3870" w:type="dxa"/>
            <w:tcBorders>
              <w:top w:val="none" w:sz="0" w:space="0" w:color="FFFFFF"/>
              <w:left w:val="none" w:sz="0" w:space="0" w:color="FFFFFF"/>
              <w:bottom w:val="none" w:sz="0" w:space="0" w:color="FFFFFF"/>
              <w:right w:val="none" w:sz="0" w:space="0" w:color="FFFFFF"/>
            </w:tcBorders>
            <w:shd w:val="clear" w:color="auto" w:fill="F2F2F2"/>
            <w:tcMar>
              <w:top w:w="160" w:type="dxa"/>
              <w:left w:w="120" w:type="dxa"/>
              <w:bottom w:w="160" w:type="dxa"/>
              <w:right w:w="200" w:type="dxa"/>
            </w:tcMar>
            <w:vAlign w:val="center"/>
          </w:tcPr>
          <w:p w14:paraId="5A11B03F" w14:textId="4896AC9A" w:rsidR="001F7AA3" w:rsidRDefault="00231B7D" w:rsidP="00231B7D">
            <w:pPr>
              <w:spacing w:before="280" w:after="40"/>
              <w:jc w:val="center"/>
            </w:pPr>
            <w:r>
              <w:rPr>
                <w:rFonts w:ascii="Verdana" w:eastAsia="Verdana" w:hAnsi="Verdana" w:cs="Verdana"/>
                <w:b/>
                <w:bCs/>
                <w:noProof/>
                <w:color w:val="1F395E"/>
              </w:rPr>
              <w:drawing>
                <wp:inline distT="0" distB="0" distL="0" distR="0" wp14:anchorId="6CFBF074" wp14:editId="7C709A01">
                  <wp:extent cx="2162175" cy="1885950"/>
                  <wp:effectExtent l="133350" t="114300" r="123825" b="171450"/>
                  <wp:docPr id="17052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6404" name="Picture 170526404"/>
                          <pic:cNvPicPr/>
                        </pic:nvPicPr>
                        <pic:blipFill>
                          <a:blip r:embed="rId5" cstate="print">
                            <a:alphaModFix/>
                            <a:extLst>
                              <a:ext uri="{28A0092B-C50C-407E-A947-70E740481C1C}">
                                <a14:useLocalDpi xmlns:a14="http://schemas.microsoft.com/office/drawing/2010/main" val="0"/>
                              </a:ext>
                            </a:extLst>
                          </a:blip>
                          <a:stretch>
                            <a:fillRect/>
                          </a:stretch>
                        </pic:blipFill>
                        <pic:spPr>
                          <a:xfrm>
                            <a:off x="0" y="0"/>
                            <a:ext cx="2171756" cy="18943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6570" w:type="dxa"/>
            <w:tcBorders>
              <w:top w:val="none" w:sz="0" w:space="0" w:color="FFFFFF"/>
              <w:left w:val="none" w:sz="0" w:space="0" w:color="FFFFFF"/>
              <w:bottom w:val="none" w:sz="0" w:space="0" w:color="FFFFFF"/>
              <w:right w:val="none" w:sz="0" w:space="0" w:color="FFFFFF"/>
            </w:tcBorders>
            <w:tcMar>
              <w:top w:w="160" w:type="dxa"/>
              <w:left w:w="220" w:type="dxa"/>
              <w:bottom w:w="100" w:type="dxa"/>
              <w:right w:w="0" w:type="dxa"/>
            </w:tcMar>
          </w:tcPr>
          <w:p w14:paraId="73A346F0" w14:textId="77777777" w:rsidR="001F7AA3" w:rsidRDefault="00000000">
            <w:pPr>
              <w:spacing w:before="80" w:after="60"/>
            </w:pPr>
            <w:r>
              <w:rPr>
                <w:rFonts w:ascii="Verdana" w:eastAsia="Verdana" w:hAnsi="Verdana" w:cs="Verdana"/>
                <w:b/>
                <w:bCs/>
                <w:color w:val="1F395E"/>
                <w:sz w:val="18"/>
                <w:szCs w:val="18"/>
              </w:rPr>
              <w:t>ABOUT STEPHANIE</w:t>
            </w:r>
          </w:p>
          <w:p w14:paraId="59E5652A" w14:textId="77777777" w:rsidR="001F7AA3" w:rsidRDefault="001F7AA3">
            <w:pPr>
              <w:pBdr>
                <w:bottom w:val="single" w:sz="8" w:space="1" w:color="F5C518"/>
              </w:pBdr>
              <w:spacing w:before="40" w:after="40"/>
            </w:pPr>
          </w:p>
          <w:p w14:paraId="7DF1F61C" w14:textId="30B094C2" w:rsidR="008A5CAA" w:rsidRDefault="00000000">
            <w:pPr>
              <w:spacing w:before="80" w:after="60"/>
              <w:rPr>
                <w:rFonts w:ascii="Verdana" w:eastAsia="Verdana" w:hAnsi="Verdana" w:cs="Verdana"/>
                <w:color w:val="1A1A1A"/>
                <w:sz w:val="17"/>
                <w:szCs w:val="17"/>
              </w:rPr>
            </w:pPr>
            <w:r>
              <w:rPr>
                <w:rFonts w:ascii="Verdana" w:eastAsia="Verdana" w:hAnsi="Verdana" w:cs="Verdana"/>
                <w:color w:val="1A1A1A"/>
                <w:sz w:val="17"/>
                <w:szCs w:val="17"/>
              </w:rPr>
              <w:t>Stephanie Cooper brings more than 25 years of nonprofit leadership to every stage and engagement. As CEO of Douglass Community Services and founder of Cooper Consulting Services, LLC, she has spent her career at the intersection of governance, executive leadership, and community impact. As a Licensed Master Social Worker and BoardSource Certified Board Consultant, she delivers presentations that are honest, practical, and deeply rooted in the realities of nonprofit life.</w:t>
            </w:r>
          </w:p>
          <w:p w14:paraId="0CE2EA1C" w14:textId="77777777" w:rsidR="008A5CAA" w:rsidRDefault="008A5CAA">
            <w:pPr>
              <w:spacing w:before="80" w:after="60"/>
            </w:pPr>
          </w:p>
          <w:p w14:paraId="1594BEB8" w14:textId="77777777" w:rsidR="001F7AA3" w:rsidRDefault="00000000">
            <w:pPr>
              <w:spacing w:before="40"/>
            </w:pPr>
            <w:r>
              <w:rPr>
                <w:rFonts w:ascii="Verdana" w:eastAsia="Verdana" w:hAnsi="Verdana" w:cs="Verdana"/>
                <w:i/>
                <w:iCs/>
                <w:color w:val="1F395E"/>
                <w:sz w:val="17"/>
                <w:szCs w:val="17"/>
              </w:rPr>
              <w:t>Stephanie gives voice to the conversations others avoid — and makes space for the ones that actually matter.</w:t>
            </w:r>
          </w:p>
        </w:tc>
      </w:tr>
    </w:tbl>
    <w:p w14:paraId="7B04CB3A" w14:textId="77777777" w:rsidR="001F7AA3" w:rsidRDefault="001F7AA3">
      <w:pPr>
        <w:pBdr>
          <w:bottom w:val="single" w:sz="8" w:space="1" w:color="F5C518"/>
        </w:pBdr>
        <w:spacing w:before="40" w:after="40"/>
      </w:pPr>
    </w:p>
    <w:p w14:paraId="01F579DE" w14:textId="77777777" w:rsidR="001F7AA3" w:rsidRDefault="00000000">
      <w:pPr>
        <w:spacing w:before="80" w:after="60"/>
      </w:pPr>
      <w:r>
        <w:rPr>
          <w:rFonts w:ascii="Verdana" w:eastAsia="Verdana" w:hAnsi="Verdana" w:cs="Verdana"/>
          <w:b/>
          <w:bCs/>
          <w:color w:val="1F395E"/>
          <w:sz w:val="18"/>
          <w:szCs w:val="18"/>
        </w:rPr>
        <w:t>SIGNATURE SPEAKING TOPICS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0"/>
        <w:gridCol w:w="3480"/>
        <w:gridCol w:w="3480"/>
      </w:tblGrid>
      <w:tr w:rsidR="001F7AA3" w14:paraId="0F8579D2" w14:textId="77777777">
        <w:tblPrEx>
          <w:tblCellMar>
            <w:top w:w="0" w:type="dxa"/>
            <w:bottom w:w="0" w:type="dxa"/>
          </w:tblCellMar>
        </w:tblPrEx>
        <w:tc>
          <w:tcPr>
            <w:tcW w:w="3440" w:type="dxa"/>
            <w:tcBorders>
              <w:top w:val="none" w:sz="0" w:space="0" w:color="FFFFFF"/>
              <w:left w:val="none" w:sz="0" w:space="0" w:color="FFFFFF"/>
              <w:bottom w:val="none" w:sz="0" w:space="0" w:color="FFFFFF"/>
              <w:right w:val="none" w:sz="0" w:space="0" w:color="FFFFFF"/>
            </w:tcBorders>
            <w:shd w:val="clear" w:color="auto" w:fill="1F395E"/>
            <w:tcMar>
              <w:top w:w="140" w:type="dxa"/>
              <w:left w:w="180" w:type="dxa"/>
              <w:bottom w:w="140" w:type="dxa"/>
              <w:right w:w="140" w:type="dxa"/>
            </w:tcMar>
          </w:tcPr>
          <w:p w14:paraId="4150EE9F" w14:textId="77777777" w:rsidR="001F7AA3" w:rsidRDefault="00000000">
            <w:pPr>
              <w:spacing w:after="60"/>
            </w:pPr>
            <w:r>
              <w:rPr>
                <w:rFonts w:ascii="Verdana" w:eastAsia="Verdana" w:hAnsi="Verdana" w:cs="Verdana"/>
                <w:b/>
                <w:bCs/>
                <w:color w:val="FFFFFF"/>
                <w:sz w:val="17"/>
                <w:szCs w:val="17"/>
              </w:rPr>
              <w:t>Board &amp; Executive Director Leadership</w:t>
            </w:r>
          </w:p>
          <w:p w14:paraId="58DF33B6" w14:textId="77777777" w:rsidR="001F7AA3" w:rsidRDefault="00000000">
            <w:r>
              <w:rPr>
                <w:rFonts w:ascii="Verdana" w:eastAsia="Verdana" w:hAnsi="Verdana" w:cs="Verdana"/>
                <w:color w:val="DDDDDD"/>
                <w:sz w:val="15"/>
                <w:szCs w:val="15"/>
              </w:rPr>
              <w:t>Exploring what makes the board-ED partnership work, what breaks it down, and how both parties can lead with clarity, trust, and shared purpose.</w:t>
            </w:r>
          </w:p>
        </w:tc>
        <w:tc>
          <w:tcPr>
            <w:tcW w:w="3440" w:type="dxa"/>
            <w:tcBorders>
              <w:top w:val="none" w:sz="0" w:space="0" w:color="FFFFFF"/>
              <w:left w:val="none" w:sz="0" w:space="0" w:color="FFFFFF"/>
              <w:bottom w:val="none" w:sz="0" w:space="0" w:color="FFFFFF"/>
              <w:right w:val="none" w:sz="0" w:space="0" w:color="FFFFFF"/>
            </w:tcBorders>
            <w:shd w:val="clear" w:color="auto" w:fill="F5C518"/>
            <w:tcMar>
              <w:top w:w="140" w:type="dxa"/>
              <w:left w:w="180" w:type="dxa"/>
              <w:bottom w:w="140" w:type="dxa"/>
              <w:right w:w="140" w:type="dxa"/>
            </w:tcMar>
          </w:tcPr>
          <w:p w14:paraId="05CFB7D2" w14:textId="77777777" w:rsidR="001F7AA3" w:rsidRDefault="00000000">
            <w:pPr>
              <w:spacing w:after="60"/>
            </w:pPr>
            <w:r>
              <w:rPr>
                <w:rFonts w:ascii="Verdana" w:eastAsia="Verdana" w:hAnsi="Verdana" w:cs="Verdana"/>
                <w:b/>
                <w:bCs/>
                <w:color w:val="1F395E"/>
                <w:sz w:val="17"/>
                <w:szCs w:val="17"/>
              </w:rPr>
              <w:t>Professional Identity Beyond Your Organization</w:t>
            </w:r>
          </w:p>
          <w:p w14:paraId="0CCB9995" w14:textId="77777777" w:rsidR="001F7AA3" w:rsidRDefault="00000000">
            <w:r>
              <w:rPr>
                <w:rFonts w:ascii="Verdana" w:eastAsia="Verdana" w:hAnsi="Verdana" w:cs="Verdana"/>
                <w:color w:val="1F395E"/>
                <w:sz w:val="15"/>
                <w:szCs w:val="15"/>
              </w:rPr>
              <w:t>How nonprofit leaders can build and own a professional identity that belongs to them — separate from their title, their organization, and their role.</w:t>
            </w:r>
          </w:p>
        </w:tc>
        <w:tc>
          <w:tcPr>
            <w:tcW w:w="3440" w:type="dxa"/>
            <w:tcBorders>
              <w:top w:val="none" w:sz="0" w:space="0" w:color="FFFFFF"/>
              <w:left w:val="none" w:sz="0" w:space="0" w:color="FFFFFF"/>
              <w:bottom w:val="none" w:sz="0" w:space="0" w:color="FFFFFF"/>
              <w:right w:val="none" w:sz="0" w:space="0" w:color="FFFFFF"/>
            </w:tcBorders>
            <w:shd w:val="clear" w:color="auto" w:fill="F2F2F2"/>
            <w:tcMar>
              <w:top w:w="140" w:type="dxa"/>
              <w:left w:w="180" w:type="dxa"/>
              <w:bottom w:w="140" w:type="dxa"/>
              <w:right w:w="0" w:type="dxa"/>
            </w:tcMar>
          </w:tcPr>
          <w:p w14:paraId="79CF95A2" w14:textId="77777777" w:rsidR="001F7AA3" w:rsidRDefault="00000000">
            <w:pPr>
              <w:spacing w:after="60"/>
            </w:pPr>
            <w:r>
              <w:rPr>
                <w:rFonts w:ascii="Verdana" w:eastAsia="Verdana" w:hAnsi="Verdana" w:cs="Verdana"/>
                <w:b/>
                <w:bCs/>
                <w:color w:val="1F395E"/>
                <w:sz w:val="17"/>
                <w:szCs w:val="17"/>
              </w:rPr>
              <w:t>Career Transition After Nonprofit Leadership</w:t>
            </w:r>
          </w:p>
          <w:p w14:paraId="2BAC6402" w14:textId="77777777" w:rsidR="001F7AA3" w:rsidRDefault="00000000">
            <w:r>
              <w:rPr>
                <w:rFonts w:ascii="Verdana" w:eastAsia="Verdana" w:hAnsi="Verdana" w:cs="Verdana"/>
                <w:color w:val="1A1A1A"/>
                <w:sz w:val="15"/>
                <w:szCs w:val="15"/>
              </w:rPr>
              <w:t>An honest, hopeful look at what comes next — navigating identity, purpose, and reinvention after a long nonprofit career.</w:t>
            </w:r>
          </w:p>
        </w:tc>
      </w:tr>
    </w:tbl>
    <w:p w14:paraId="0E9F1FA5" w14:textId="77777777" w:rsidR="001F7AA3" w:rsidRDefault="001F7AA3">
      <w:pPr>
        <w:pBdr>
          <w:bottom w:val="single" w:sz="8" w:space="1" w:color="F5C518"/>
        </w:pBdr>
        <w:spacing w:before="40" w:after="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0"/>
        <w:gridCol w:w="5340"/>
      </w:tblGrid>
      <w:tr w:rsidR="001F7AA3" w14:paraId="159A4941" w14:textId="77777777">
        <w:tblPrEx>
          <w:tblCellMar>
            <w:top w:w="0" w:type="dxa"/>
            <w:bottom w:w="0" w:type="dxa"/>
          </w:tblCellMar>
        </w:tblPrEx>
        <w:tc>
          <w:tcPr>
            <w:tcW w:w="5100" w:type="dxa"/>
            <w:tcBorders>
              <w:top w:val="none" w:sz="0" w:space="0" w:color="FFFFFF"/>
              <w:left w:val="none" w:sz="0" w:space="0" w:color="FFFFFF"/>
              <w:bottom w:val="none" w:sz="0" w:space="0" w:color="FFFFFF"/>
              <w:right w:val="none" w:sz="0" w:space="0" w:color="FFFFFF"/>
            </w:tcBorders>
            <w:tcMar>
              <w:top w:w="100" w:type="dxa"/>
              <w:left w:w="0" w:type="dxa"/>
              <w:bottom w:w="100" w:type="dxa"/>
              <w:right w:w="240" w:type="dxa"/>
            </w:tcMar>
          </w:tcPr>
          <w:p w14:paraId="098DB2D2" w14:textId="77777777" w:rsidR="001F7AA3" w:rsidRDefault="00000000">
            <w:pPr>
              <w:spacing w:before="80" w:after="60"/>
            </w:pPr>
            <w:r>
              <w:rPr>
                <w:rFonts w:ascii="Verdana" w:eastAsia="Verdana" w:hAnsi="Verdana" w:cs="Verdana"/>
                <w:b/>
                <w:bCs/>
                <w:color w:val="1F395E"/>
                <w:sz w:val="18"/>
                <w:szCs w:val="18"/>
              </w:rPr>
              <w:t>WHAT AUDIENCES CAN EXPECT</w:t>
            </w:r>
          </w:p>
          <w:p w14:paraId="1C11C668" w14:textId="77777777" w:rsidR="001F7AA3" w:rsidRDefault="001F7AA3">
            <w:pPr>
              <w:pBdr>
                <w:bottom w:val="single" w:sz="8" w:space="1" w:color="F5C518"/>
              </w:pBdr>
              <w:spacing w:before="40" w:after="40"/>
            </w:pPr>
          </w:p>
          <w:p w14:paraId="70F54C62"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Real stories and practical insights drawn from 25+ years of nonprofit leadership</w:t>
            </w:r>
          </w:p>
          <w:p w14:paraId="0D804C2F"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A warm, approachable style that creates space for honest conversation</w:t>
            </w:r>
          </w:p>
          <w:p w14:paraId="0DF74EDD"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Content grounded in both professional expertise and lived personal experience</w:t>
            </w:r>
          </w:p>
          <w:p w14:paraId="63993911"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Takeaways audiences can apply immediately — not just concepts to think about</w:t>
            </w:r>
          </w:p>
          <w:p w14:paraId="082F37A4"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A perspective shaped by executive leadership, board governance, and social work</w:t>
            </w:r>
          </w:p>
          <w:p w14:paraId="167648BA" w14:textId="77777777" w:rsidR="001F7AA3" w:rsidRDefault="00000000">
            <w:pPr>
              <w:spacing w:before="80" w:after="60"/>
            </w:pPr>
            <w:r>
              <w:rPr>
                <w:rFonts w:ascii="Verdana" w:eastAsia="Verdana" w:hAnsi="Verdana" w:cs="Verdana"/>
                <w:b/>
                <w:bCs/>
                <w:color w:val="1F395E"/>
                <w:sz w:val="18"/>
                <w:szCs w:val="18"/>
              </w:rPr>
              <w:t>AVAILABLE FOR</w:t>
            </w:r>
          </w:p>
          <w:p w14:paraId="52D0B93F" w14:textId="77777777" w:rsidR="001F7AA3" w:rsidRDefault="001F7AA3">
            <w:pPr>
              <w:pBdr>
                <w:bottom w:val="single" w:sz="8" w:space="1" w:color="F5C518"/>
              </w:pBdr>
              <w:spacing w:before="40" w:after="40"/>
            </w:pPr>
          </w:p>
          <w:p w14:paraId="2C5F9023"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Keynote presentations</w:t>
            </w:r>
          </w:p>
          <w:p w14:paraId="692957EB"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Breakout sessions &amp; workshops</w:t>
            </w:r>
          </w:p>
          <w:p w14:paraId="721EBDF7" w14:textId="77777777" w:rsidR="001F7AA3" w:rsidRDefault="00000000">
            <w:pPr>
              <w:pStyle w:val="ListParagraph"/>
              <w:numPr>
                <w:ilvl w:val="0"/>
                <w:numId w:val="2"/>
              </w:numPr>
              <w:spacing w:before="55" w:after="40"/>
            </w:pPr>
            <w:r>
              <w:rPr>
                <w:rFonts w:ascii="Verdana" w:eastAsia="Verdana" w:hAnsi="Verdana" w:cs="Verdana"/>
                <w:color w:val="1A1A1A"/>
                <w:sz w:val="16"/>
                <w:szCs w:val="16"/>
              </w:rPr>
              <w:t>Panel discussions &amp; moderation</w:t>
            </w:r>
          </w:p>
          <w:p w14:paraId="482DE1D5" w14:textId="77777777" w:rsidR="001F7AA3" w:rsidRPr="00231B7D" w:rsidRDefault="00000000">
            <w:pPr>
              <w:pStyle w:val="ListParagraph"/>
              <w:numPr>
                <w:ilvl w:val="0"/>
                <w:numId w:val="2"/>
              </w:numPr>
              <w:spacing w:before="55" w:after="40"/>
            </w:pPr>
            <w:r>
              <w:rPr>
                <w:rFonts w:ascii="Verdana" w:eastAsia="Verdana" w:hAnsi="Verdana" w:cs="Verdana"/>
                <w:color w:val="1A1A1A"/>
                <w:sz w:val="16"/>
                <w:szCs w:val="16"/>
              </w:rPr>
              <w:t>Leadership retreats &amp; board training days</w:t>
            </w:r>
          </w:p>
          <w:p w14:paraId="206AA6A4" w14:textId="77777777" w:rsidR="00231B7D" w:rsidRDefault="00231B7D" w:rsidP="00231B7D">
            <w:pPr>
              <w:spacing w:before="55" w:after="40"/>
            </w:pPr>
          </w:p>
        </w:tc>
        <w:tc>
          <w:tcPr>
            <w:tcW w:w="5340" w:type="dxa"/>
            <w:tcBorders>
              <w:top w:val="none" w:sz="0" w:space="0" w:color="FFFFFF"/>
              <w:left w:val="none" w:sz="0" w:space="0" w:color="FFFFFF"/>
              <w:bottom w:val="none" w:sz="0" w:space="0" w:color="FFFFFF"/>
              <w:right w:val="none" w:sz="0" w:space="0" w:color="FFFFFF"/>
            </w:tcBorders>
            <w:tcMar>
              <w:top w:w="100" w:type="dxa"/>
              <w:left w:w="240" w:type="dxa"/>
              <w:bottom w:w="100" w:type="dxa"/>
              <w:right w:w="0" w:type="dxa"/>
            </w:tcMar>
          </w:tcPr>
          <w:p w14:paraId="3687A96F" w14:textId="77777777" w:rsidR="001F7AA3" w:rsidRDefault="00000000">
            <w:pPr>
              <w:spacing w:before="80" w:after="60"/>
            </w:pPr>
            <w:r>
              <w:rPr>
                <w:rFonts w:ascii="Verdana" w:eastAsia="Verdana" w:hAnsi="Verdana" w:cs="Verdana"/>
                <w:b/>
                <w:bCs/>
                <w:color w:val="1F395E"/>
                <w:sz w:val="18"/>
                <w:szCs w:val="18"/>
              </w:rPr>
              <w:t>CREDENTIALS &amp; BACKGROUND</w:t>
            </w:r>
          </w:p>
          <w:p w14:paraId="0D7BE896" w14:textId="77777777" w:rsidR="001F7AA3" w:rsidRDefault="001F7AA3">
            <w:pPr>
              <w:pBdr>
                <w:bottom w:val="single" w:sz="8" w:space="1" w:color="F5C518"/>
              </w:pBdr>
              <w:spacing w:before="40" w:after="40"/>
            </w:pPr>
          </w:p>
          <w:p w14:paraId="65966D20"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BoardSource Certified Board Consultant</w:t>
            </w:r>
          </w:p>
          <w:p w14:paraId="56E54C06"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Licensed Master Social Worker (LMSW)</w:t>
            </w:r>
          </w:p>
          <w:p w14:paraId="35A2757F"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25+ years of nonprofit sector leadership</w:t>
            </w:r>
          </w:p>
          <w:p w14:paraId="34825185"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Active nonprofit CEO — Douglass Community Services</w:t>
            </w:r>
          </w:p>
          <w:p w14:paraId="067E20A1"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Founder, Cooper Consulting Services, LLC</w:t>
            </w:r>
          </w:p>
          <w:p w14:paraId="2FB674A4"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Experienced governance trainer &amp; strategic planning facilitator</w:t>
            </w:r>
          </w:p>
          <w:p w14:paraId="05A57B3E"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#IAmRemarkable Facilitator — 200+ participants across imposter syndrome, career &amp; personal achievement workshops</w:t>
            </w:r>
          </w:p>
          <w:p w14:paraId="3875ADD3" w14:textId="77777777" w:rsidR="001F7AA3" w:rsidRDefault="00000000">
            <w:pPr>
              <w:pStyle w:val="ListParagraph"/>
              <w:numPr>
                <w:ilvl w:val="0"/>
                <w:numId w:val="3"/>
              </w:numPr>
              <w:spacing w:before="55" w:after="40"/>
            </w:pPr>
            <w:r>
              <w:rPr>
                <w:rFonts w:ascii="Verdana" w:eastAsia="Verdana" w:hAnsi="Verdana" w:cs="Verdana"/>
                <w:color w:val="1A1A1A"/>
                <w:sz w:val="16"/>
                <w:szCs w:val="16"/>
              </w:rPr>
              <w:t>OHS Fellow — UCLA Anderson School of Management</w:t>
            </w:r>
          </w:p>
        </w:tc>
      </w:tr>
      <w:tr w:rsidR="001F7AA3" w14:paraId="3FBDFDFA" w14:textId="77777777">
        <w:tblPrEx>
          <w:tblCellMar>
            <w:top w:w="0" w:type="dxa"/>
            <w:bottom w:w="0" w:type="dxa"/>
          </w:tblCellMar>
        </w:tblPrEx>
        <w:tc>
          <w:tcPr>
            <w:tcW w:w="0" w:type="auto"/>
            <w:gridSpan w:val="2"/>
            <w:tcBorders>
              <w:top w:val="none" w:sz="0" w:space="0" w:color="FFFFFF"/>
              <w:left w:val="none" w:sz="0" w:space="0" w:color="FFFFFF"/>
              <w:bottom w:val="none" w:sz="0" w:space="0" w:color="FFFFFF"/>
              <w:right w:val="none" w:sz="0" w:space="0" w:color="FFFFFF"/>
            </w:tcBorders>
            <w:shd w:val="clear" w:color="auto" w:fill="1F395E"/>
            <w:tcMar>
              <w:top w:w="140" w:type="dxa"/>
              <w:left w:w="300" w:type="dxa"/>
              <w:bottom w:w="140" w:type="dxa"/>
              <w:right w:w="300" w:type="dxa"/>
            </w:tcMar>
          </w:tcPr>
          <w:p w14:paraId="5AF8EEAB" w14:textId="77777777" w:rsidR="001F7AA3" w:rsidRDefault="00000000">
            <w:pPr>
              <w:spacing w:after="30"/>
              <w:jc w:val="center"/>
            </w:pPr>
            <w:r>
              <w:rPr>
                <w:rFonts w:ascii="Verdana" w:eastAsia="Verdana" w:hAnsi="Verdana" w:cs="Verdana"/>
                <w:b/>
                <w:bCs/>
                <w:color w:val="FFFFFF"/>
                <w:sz w:val="19"/>
                <w:szCs w:val="19"/>
              </w:rPr>
              <w:t>READY TO BRING STEPHANIE TO YOUR EVENT?</w:t>
            </w:r>
          </w:p>
          <w:p w14:paraId="1AE90ED5" w14:textId="77777777" w:rsidR="001F7AA3" w:rsidRDefault="00000000">
            <w:pPr>
              <w:spacing w:after="20"/>
              <w:jc w:val="center"/>
            </w:pPr>
            <w:r>
              <w:rPr>
                <w:rFonts w:ascii="Verdana" w:eastAsia="Verdana" w:hAnsi="Verdana" w:cs="Verdana"/>
                <w:color w:val="F5C518"/>
                <w:sz w:val="17"/>
                <w:szCs w:val="17"/>
              </w:rPr>
              <w:t>info@cooperconsulting.online</w:t>
            </w:r>
            <w:r>
              <w:rPr>
                <w:rFonts w:ascii="Verdana" w:eastAsia="Verdana" w:hAnsi="Verdana" w:cs="Verdana"/>
                <w:color w:val="FFFFFF"/>
                <w:sz w:val="17"/>
                <w:szCs w:val="17"/>
              </w:rPr>
              <w:t xml:space="preserve">   |   </w:t>
            </w:r>
            <w:r>
              <w:rPr>
                <w:rFonts w:ascii="Verdana" w:eastAsia="Verdana" w:hAnsi="Verdana" w:cs="Verdana"/>
                <w:color w:val="F5C518"/>
                <w:sz w:val="17"/>
                <w:szCs w:val="17"/>
              </w:rPr>
              <w:t>cooperconsulting.online</w:t>
            </w:r>
            <w:r>
              <w:rPr>
                <w:rFonts w:ascii="Verdana" w:eastAsia="Verdana" w:hAnsi="Verdana" w:cs="Verdana"/>
                <w:color w:val="FFFFFF"/>
                <w:sz w:val="17"/>
                <w:szCs w:val="17"/>
              </w:rPr>
              <w:t xml:space="preserve">   |   </w:t>
            </w:r>
            <w:r>
              <w:rPr>
                <w:rFonts w:ascii="Verdana" w:eastAsia="Verdana" w:hAnsi="Verdana" w:cs="Verdana"/>
                <w:color w:val="F5C518"/>
                <w:sz w:val="17"/>
                <w:szCs w:val="17"/>
              </w:rPr>
              <w:t>573-719-1456</w:t>
            </w:r>
          </w:p>
          <w:p w14:paraId="79EACCC1" w14:textId="77777777" w:rsidR="001F7AA3" w:rsidRDefault="00000000">
            <w:pPr>
              <w:jc w:val="center"/>
            </w:pPr>
            <w:r>
              <w:rPr>
                <w:rFonts w:ascii="Verdana" w:eastAsia="Verdana" w:hAnsi="Verdana" w:cs="Verdana"/>
                <w:color w:val="AABBCC"/>
                <w:sz w:val="15"/>
                <w:szCs w:val="15"/>
              </w:rPr>
              <w:t>PO Box 1061, Hannibal, MO 63401</w:t>
            </w:r>
          </w:p>
        </w:tc>
      </w:tr>
    </w:tbl>
    <w:p w14:paraId="76C52F04" w14:textId="77777777" w:rsidR="006F141A" w:rsidRDefault="006F141A"/>
    <w:sectPr w:rsidR="006F141A">
      <w:pgSz w:w="12240" w:h="15840"/>
      <w:pgMar w:top="480" w:right="900" w:bottom="48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48A8"/>
    <w:multiLevelType w:val="hybridMultilevel"/>
    <w:tmpl w:val="28164806"/>
    <w:lvl w:ilvl="0" w:tplc="6752499C">
      <w:start w:val="1"/>
      <w:numFmt w:val="bullet"/>
      <w:lvlText w:val="✓"/>
      <w:lvlJc w:val="left"/>
      <w:pPr>
        <w:ind w:left="360" w:hanging="260"/>
      </w:pPr>
    </w:lvl>
    <w:lvl w:ilvl="1" w:tplc="60483E94">
      <w:numFmt w:val="decimal"/>
      <w:lvlText w:val=""/>
      <w:lvlJc w:val="left"/>
    </w:lvl>
    <w:lvl w:ilvl="2" w:tplc="0F50DC2A">
      <w:numFmt w:val="decimal"/>
      <w:lvlText w:val=""/>
      <w:lvlJc w:val="left"/>
    </w:lvl>
    <w:lvl w:ilvl="3" w:tplc="EFF64414">
      <w:numFmt w:val="decimal"/>
      <w:lvlText w:val=""/>
      <w:lvlJc w:val="left"/>
    </w:lvl>
    <w:lvl w:ilvl="4" w:tplc="2640CABA">
      <w:numFmt w:val="decimal"/>
      <w:lvlText w:val=""/>
      <w:lvlJc w:val="left"/>
    </w:lvl>
    <w:lvl w:ilvl="5" w:tplc="F39A1866">
      <w:numFmt w:val="decimal"/>
      <w:lvlText w:val=""/>
      <w:lvlJc w:val="left"/>
    </w:lvl>
    <w:lvl w:ilvl="6" w:tplc="6584EE78">
      <w:numFmt w:val="decimal"/>
      <w:lvlText w:val=""/>
      <w:lvlJc w:val="left"/>
    </w:lvl>
    <w:lvl w:ilvl="7" w:tplc="FE6295DA">
      <w:numFmt w:val="decimal"/>
      <w:lvlText w:val=""/>
      <w:lvlJc w:val="left"/>
    </w:lvl>
    <w:lvl w:ilvl="8" w:tplc="686C5132">
      <w:numFmt w:val="decimal"/>
      <w:lvlText w:val=""/>
      <w:lvlJc w:val="left"/>
    </w:lvl>
  </w:abstractNum>
  <w:abstractNum w:abstractNumId="1" w15:restartNumberingAfterBreak="0">
    <w:nsid w:val="3E7127B5"/>
    <w:multiLevelType w:val="hybridMultilevel"/>
    <w:tmpl w:val="250CC0B0"/>
    <w:lvl w:ilvl="0" w:tplc="DAB02B02">
      <w:start w:val="1"/>
      <w:numFmt w:val="bullet"/>
      <w:lvlText w:val="●"/>
      <w:lvlJc w:val="left"/>
      <w:pPr>
        <w:ind w:left="720" w:hanging="360"/>
      </w:pPr>
    </w:lvl>
    <w:lvl w:ilvl="1" w:tplc="6BA055BA">
      <w:start w:val="1"/>
      <w:numFmt w:val="bullet"/>
      <w:lvlText w:val="○"/>
      <w:lvlJc w:val="left"/>
      <w:pPr>
        <w:ind w:left="1440" w:hanging="360"/>
      </w:pPr>
    </w:lvl>
    <w:lvl w:ilvl="2" w:tplc="587E422A">
      <w:start w:val="1"/>
      <w:numFmt w:val="bullet"/>
      <w:lvlText w:val="■"/>
      <w:lvlJc w:val="left"/>
      <w:pPr>
        <w:ind w:left="2160" w:hanging="360"/>
      </w:pPr>
    </w:lvl>
    <w:lvl w:ilvl="3" w:tplc="CB76ED26">
      <w:start w:val="1"/>
      <w:numFmt w:val="bullet"/>
      <w:lvlText w:val="●"/>
      <w:lvlJc w:val="left"/>
      <w:pPr>
        <w:ind w:left="2880" w:hanging="360"/>
      </w:pPr>
    </w:lvl>
    <w:lvl w:ilvl="4" w:tplc="8DCC5AFC">
      <w:start w:val="1"/>
      <w:numFmt w:val="bullet"/>
      <w:lvlText w:val="○"/>
      <w:lvlJc w:val="left"/>
      <w:pPr>
        <w:ind w:left="3600" w:hanging="360"/>
      </w:pPr>
    </w:lvl>
    <w:lvl w:ilvl="5" w:tplc="0B16BEC0">
      <w:start w:val="1"/>
      <w:numFmt w:val="bullet"/>
      <w:lvlText w:val="■"/>
      <w:lvlJc w:val="left"/>
      <w:pPr>
        <w:ind w:left="4320" w:hanging="360"/>
      </w:pPr>
    </w:lvl>
    <w:lvl w:ilvl="6" w:tplc="42729A42">
      <w:start w:val="1"/>
      <w:numFmt w:val="bullet"/>
      <w:lvlText w:val="●"/>
      <w:lvlJc w:val="left"/>
      <w:pPr>
        <w:ind w:left="5040" w:hanging="360"/>
      </w:pPr>
    </w:lvl>
    <w:lvl w:ilvl="7" w:tplc="6FFA3906">
      <w:start w:val="1"/>
      <w:numFmt w:val="bullet"/>
      <w:lvlText w:val="●"/>
      <w:lvlJc w:val="left"/>
      <w:pPr>
        <w:ind w:left="5760" w:hanging="360"/>
      </w:pPr>
    </w:lvl>
    <w:lvl w:ilvl="8" w:tplc="166A50C0">
      <w:start w:val="1"/>
      <w:numFmt w:val="bullet"/>
      <w:lvlText w:val="●"/>
      <w:lvlJc w:val="left"/>
      <w:pPr>
        <w:ind w:left="6480" w:hanging="360"/>
      </w:pPr>
    </w:lvl>
  </w:abstractNum>
  <w:abstractNum w:abstractNumId="2" w15:restartNumberingAfterBreak="0">
    <w:nsid w:val="709B465B"/>
    <w:multiLevelType w:val="hybridMultilevel"/>
    <w:tmpl w:val="9F121996"/>
    <w:lvl w:ilvl="0" w:tplc="05E213F6">
      <w:start w:val="1"/>
      <w:numFmt w:val="bullet"/>
      <w:lvlText w:val="•"/>
      <w:lvlJc w:val="left"/>
      <w:pPr>
        <w:ind w:left="320" w:hanging="240"/>
      </w:pPr>
    </w:lvl>
    <w:lvl w:ilvl="1" w:tplc="3B54976E">
      <w:numFmt w:val="decimal"/>
      <w:lvlText w:val=""/>
      <w:lvlJc w:val="left"/>
    </w:lvl>
    <w:lvl w:ilvl="2" w:tplc="C0C623EE">
      <w:numFmt w:val="decimal"/>
      <w:lvlText w:val=""/>
      <w:lvlJc w:val="left"/>
    </w:lvl>
    <w:lvl w:ilvl="3" w:tplc="B580A744">
      <w:numFmt w:val="decimal"/>
      <w:lvlText w:val=""/>
      <w:lvlJc w:val="left"/>
    </w:lvl>
    <w:lvl w:ilvl="4" w:tplc="461E59FC">
      <w:numFmt w:val="decimal"/>
      <w:lvlText w:val=""/>
      <w:lvlJc w:val="left"/>
    </w:lvl>
    <w:lvl w:ilvl="5" w:tplc="90B8618E">
      <w:numFmt w:val="decimal"/>
      <w:lvlText w:val=""/>
      <w:lvlJc w:val="left"/>
    </w:lvl>
    <w:lvl w:ilvl="6" w:tplc="F33A7FE8">
      <w:numFmt w:val="decimal"/>
      <w:lvlText w:val=""/>
      <w:lvlJc w:val="left"/>
    </w:lvl>
    <w:lvl w:ilvl="7" w:tplc="69CA0C58">
      <w:numFmt w:val="decimal"/>
      <w:lvlText w:val=""/>
      <w:lvlJc w:val="left"/>
    </w:lvl>
    <w:lvl w:ilvl="8" w:tplc="0B202752">
      <w:numFmt w:val="decimal"/>
      <w:lvlText w:val=""/>
      <w:lvlJc w:val="left"/>
    </w:lvl>
  </w:abstractNum>
  <w:num w:numId="1" w16cid:durableId="2083016048">
    <w:abstractNumId w:val="1"/>
    <w:lvlOverride w:ilvl="0">
      <w:startOverride w:val="1"/>
    </w:lvlOverride>
  </w:num>
  <w:num w:numId="2" w16cid:durableId="1640190657">
    <w:abstractNumId w:val="0"/>
    <w:lvlOverride w:ilvl="0">
      <w:startOverride w:val="1"/>
    </w:lvlOverride>
  </w:num>
  <w:num w:numId="3" w16cid:durableId="162786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A3"/>
    <w:rsid w:val="001F7AA3"/>
    <w:rsid w:val="00231B7D"/>
    <w:rsid w:val="006F141A"/>
    <w:rsid w:val="008A5CAA"/>
    <w:rsid w:val="00B453F8"/>
    <w:rsid w:val="00C8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EA46"/>
  <w15:docId w15:val="{C1BABAE7-102F-4400-A95C-E700D19D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Cooper</cp:lastModifiedBy>
  <cp:revision>2</cp:revision>
  <cp:lastPrinted>2026-03-23T20:39:00Z</cp:lastPrinted>
  <dcterms:created xsi:type="dcterms:W3CDTF">2026-03-23T20:44:00Z</dcterms:created>
  <dcterms:modified xsi:type="dcterms:W3CDTF">2026-03-23T20:44:00Z</dcterms:modified>
</cp:coreProperties>
</file>